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03412C">
        <w:rPr>
          <w:b/>
          <w:bCs/>
        </w:rPr>
        <w:t>1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03412C">
              <w:rPr>
                <w:i/>
              </w:rPr>
              <w:t>09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>Санкт-Петербурге</w:t>
            </w:r>
            <w:proofErr w:type="gramEnd"/>
            <w:r w:rsidR="0039721A">
              <w:rPr>
                <w:i/>
              </w:rPr>
              <w:t xml:space="preserve"> государственной услуги по </w:t>
            </w:r>
            <w:r w:rsidR="0003412C">
              <w:rPr>
                <w:i/>
              </w:rPr>
              <w:t>выдаче органом опеки и попечительства разрешения на изменение имени и фамилии ребенка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38188C">
        <w:t>01.</w:t>
      </w:r>
      <w:r w:rsidR="0038188C" w:rsidRPr="0038188C">
        <w:t>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38188C">
        <w:t>6</w:t>
      </w:r>
      <w:bookmarkStart w:id="3" w:name="_GoBack"/>
      <w:bookmarkEnd w:id="3"/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03412C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20.03.2013 № </w:t>
      </w:r>
      <w:r w:rsidR="0003412C" w:rsidRPr="0003412C">
        <w:t xml:space="preserve">09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выдаче органом опеки и попечительства разрешения на изменение имени и фамилии ребенка»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lastRenderedPageBreak/>
        <w:t>пункт 2.</w:t>
      </w:r>
      <w:r w:rsidR="00A767CF">
        <w:t xml:space="preserve">7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2.15</w:t>
      </w:r>
      <w:r w:rsidR="00632909">
        <w:t>.</w:t>
      </w:r>
      <w:r w:rsidR="00A767CF">
        <w:t>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F" w:rsidRDefault="00E916FF">
      <w:r>
        <w:separator/>
      </w:r>
    </w:p>
  </w:endnote>
  <w:endnote w:type="continuationSeparator" w:id="0">
    <w:p w:rsidR="00E916FF" w:rsidRDefault="00E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F" w:rsidRDefault="00E916FF"/>
  </w:footnote>
  <w:footnote w:type="continuationSeparator" w:id="0">
    <w:p w:rsidR="00E916FF" w:rsidRDefault="00E916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3412C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8188C"/>
    <w:rsid w:val="00386A64"/>
    <w:rsid w:val="0039721A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49A2"/>
    <w:rsid w:val="00632909"/>
    <w:rsid w:val="006C3ED0"/>
    <w:rsid w:val="006D225D"/>
    <w:rsid w:val="007220DF"/>
    <w:rsid w:val="00725713"/>
    <w:rsid w:val="00775CF6"/>
    <w:rsid w:val="007B0332"/>
    <w:rsid w:val="007B6990"/>
    <w:rsid w:val="00881EA3"/>
    <w:rsid w:val="008C7BA2"/>
    <w:rsid w:val="00911FE4"/>
    <w:rsid w:val="009260DC"/>
    <w:rsid w:val="0093077C"/>
    <w:rsid w:val="009B1805"/>
    <w:rsid w:val="009B7F69"/>
    <w:rsid w:val="00A767CF"/>
    <w:rsid w:val="00AB12D9"/>
    <w:rsid w:val="00B129E8"/>
    <w:rsid w:val="00B36F7B"/>
    <w:rsid w:val="00B527B4"/>
    <w:rsid w:val="00B53870"/>
    <w:rsid w:val="00BC6A00"/>
    <w:rsid w:val="00C132B3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324E"/>
    <w:rsid w:val="00E1598C"/>
    <w:rsid w:val="00E30751"/>
    <w:rsid w:val="00E509BC"/>
    <w:rsid w:val="00E65177"/>
    <w:rsid w:val="00E7041B"/>
    <w:rsid w:val="00E81F9D"/>
    <w:rsid w:val="00E87C4E"/>
    <w:rsid w:val="00E916FF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E05B-DE25-4406-893D-28D3F12A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2022-04-19T14:16:00Z</dcterms:created>
  <dcterms:modified xsi:type="dcterms:W3CDTF">2022-04-20T06:54:00Z</dcterms:modified>
</cp:coreProperties>
</file>